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6A" w:rsidRDefault="00FF6F6A">
      <w:r>
        <w:rPr>
          <w:noProof/>
          <w:lang w:eastAsia="tr-TR"/>
        </w:rPr>
        <w:drawing>
          <wp:inline distT="0" distB="0" distL="0" distR="0">
            <wp:extent cx="5760720" cy="183796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837967"/>
                    </a:xfrm>
                    <a:prstGeom prst="rect">
                      <a:avLst/>
                    </a:prstGeom>
                    <a:noFill/>
                    <a:ln>
                      <a:noFill/>
                    </a:ln>
                    <a:extLst/>
                  </pic:spPr>
                </pic:pic>
              </a:graphicData>
            </a:graphic>
          </wp:inline>
        </w:drawing>
      </w:r>
    </w:p>
    <w:p w:rsidR="00FF6F6A" w:rsidRDefault="00FF6F6A" w:rsidP="00FF6F6A"/>
    <w:p w:rsidR="00EC2B1C" w:rsidRDefault="00EC2B1C" w:rsidP="00FF6F6A">
      <w:pPr>
        <w:jc w:val="center"/>
      </w:pPr>
    </w:p>
    <w:p w:rsidR="00EC2B1C" w:rsidRDefault="00EC2B1C" w:rsidP="00FF6F6A">
      <w:pPr>
        <w:jc w:val="center"/>
      </w:pPr>
    </w:p>
    <w:p w:rsidR="00FF6F6A" w:rsidRDefault="00055F75" w:rsidP="00FF6F6A">
      <w:pPr>
        <w:jc w:val="center"/>
      </w:pPr>
      <w:r>
        <w:rPr>
          <w:noProof/>
          <w:lang w:eastAsia="tr-TR"/>
        </w:rPr>
        <w:pict>
          <v:rect id="1 Başlık" o:spid="_x0000_s1026" style="position:absolute;left:0;text-align:left;margin-left:-93.55pt;margin-top:22pt;width:666pt;height:22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style="mso-next-textbox:#1 Başlık">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lastRenderedPageBreak/>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357C9A" w:rsidRPr="00840E62">
        <w:rPr>
          <w:rStyle w:val="Kpr"/>
          <w:rFonts w:asciiTheme="majorBidi" w:hAnsiTheme="majorBidi" w:cstheme="majorBidi"/>
          <w:color w:val="auto"/>
          <w:sz w:val="28"/>
          <w:szCs w:val="28"/>
          <w:u w:val="none"/>
        </w:rPr>
        <w:t>KOMİSYONLARIN KURULMASI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892EDC" w:rsidRDefault="00892EDC" w:rsidP="00892EDC">
      <w:pPr>
        <w:pStyle w:val="Balk1"/>
      </w:pPr>
    </w:p>
    <w:p w:rsidR="00F02CCF" w:rsidRDefault="00F02CCF" w:rsidP="00F02CCF"/>
    <w:p w:rsidR="00F02CCF" w:rsidRPr="00F02CCF" w:rsidRDefault="00F02CCF" w:rsidP="00F02CCF">
      <w:bookmarkStart w:id="0" w:name="_GoBack"/>
      <w:bookmarkEnd w:id="0"/>
    </w:p>
    <w:p w:rsidR="00357C9A" w:rsidRDefault="00357C9A" w:rsidP="0010186E">
      <w:pPr>
        <w:pStyle w:val="Balk1"/>
        <w:rPr>
          <w:rFonts w:asciiTheme="majorBidi" w:hAnsiTheme="majorBidi"/>
          <w:sz w:val="36"/>
          <w:szCs w:val="36"/>
        </w:rPr>
      </w:pPr>
      <w:bookmarkStart w:id="1" w:name="_Toc413240137"/>
      <w:bookmarkStart w:id="2" w:name="_Toc413659926"/>
    </w:p>
    <w:p w:rsidR="00FF6F6A" w:rsidRPr="00EB5FF2" w:rsidRDefault="00F20A94" w:rsidP="0010186E">
      <w:pPr>
        <w:pStyle w:val="Balk1"/>
        <w:rPr>
          <w:rFonts w:asciiTheme="majorBidi" w:hAnsiTheme="majorBidi"/>
          <w:sz w:val="36"/>
          <w:szCs w:val="36"/>
        </w:rPr>
      </w:pPr>
      <w:r>
        <w:rPr>
          <w:rFonts w:asciiTheme="majorBidi" w:hAnsiTheme="majorBidi"/>
          <w:sz w:val="36"/>
          <w:szCs w:val="36"/>
        </w:rPr>
        <w:t xml:space="preserve">1. </w:t>
      </w:r>
      <w:r w:rsidR="00FF6F6A" w:rsidRPr="00EB5FF2">
        <w:rPr>
          <w:rFonts w:asciiTheme="majorBidi" w:hAnsiTheme="majorBidi"/>
          <w:sz w:val="36"/>
          <w:szCs w:val="36"/>
        </w:rPr>
        <w:t>KOMİSYONLARIN KURULMASI</w:t>
      </w:r>
      <w:bookmarkEnd w:id="1"/>
      <w:bookmarkEnd w:id="2"/>
    </w:p>
    <w:p w:rsidR="00FF6F6A" w:rsidRPr="001E29A8" w:rsidRDefault="00EC2B1C" w:rsidP="00EC05DA">
      <w:pPr>
        <w:spacing w:before="120" w:after="120" w:line="360" w:lineRule="auto"/>
        <w:ind w:left="851"/>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FF6F6A"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 xml:space="preserve">ağıda belirtilen kişilerden oluşan bir </w:t>
      </w:r>
      <w:r w:rsidR="00FF6F6A" w:rsidRPr="00EC2B1C">
        <w:rPr>
          <w:rFonts w:asciiTheme="majorBidi" w:eastAsiaTheme="minorEastAsia" w:hAnsiTheme="majorBidi" w:cstheme="majorBidi"/>
          <w:color w:val="000000" w:themeColor="text1"/>
          <w:kern w:val="24"/>
          <w:sz w:val="24"/>
          <w:szCs w:val="24"/>
          <w:lang w:eastAsia="tr-TR"/>
        </w:rPr>
        <w:t xml:space="preserve">komisyon </w:t>
      </w:r>
      <w:r w:rsidR="00EC05DA">
        <w:rPr>
          <w:rFonts w:asciiTheme="majorBidi" w:eastAsiaTheme="minorEastAsia" w:hAnsiTheme="majorBidi" w:cstheme="majorBidi"/>
          <w:color w:val="000000" w:themeColor="text1"/>
          <w:kern w:val="24"/>
          <w:sz w:val="24"/>
          <w:szCs w:val="24"/>
          <w:lang w:eastAsia="tr-TR"/>
        </w:rPr>
        <w:t>kurulacaktır.</w:t>
      </w:r>
      <w:r w:rsidR="00FF6F6A" w:rsidRPr="00EC2B1C">
        <w:rPr>
          <w:rFonts w:asciiTheme="majorBidi" w:eastAsiaTheme="minorEastAsia" w:hAnsiTheme="majorBidi" w:cstheme="majorBidi"/>
          <w:color w:val="000000" w:themeColor="text1"/>
          <w:kern w:val="24"/>
          <w:sz w:val="24"/>
          <w:szCs w:val="24"/>
          <w:lang w:eastAsia="tr-TR"/>
        </w:rPr>
        <w:t xml:space="preserve"> Ulusal Serginin 23-24 Mayıs tarihleri arasında yapılabilmesi için komisyonların hızlı bir şekilde kurulması ve işlemlerine başlaması büyük önem arz etmektedir. Komisyonlara ait iletişim bilgile</w:t>
      </w:r>
      <w:r>
        <w:rPr>
          <w:rFonts w:asciiTheme="majorBidi" w:eastAsiaTheme="minorEastAsia" w:hAnsiTheme="majorBidi" w:cstheme="majorBidi"/>
          <w:color w:val="000000" w:themeColor="text1"/>
          <w:kern w:val="24"/>
          <w:sz w:val="24"/>
          <w:szCs w:val="24"/>
          <w:lang w:eastAsia="tr-TR"/>
        </w:rPr>
        <w:t xml:space="preserve">ri </w:t>
      </w:r>
      <w:r w:rsidR="00C5532A">
        <w:rPr>
          <w:rFonts w:asciiTheme="majorBidi" w:eastAsiaTheme="minorEastAsia" w:hAnsiTheme="majorBidi" w:cstheme="majorBidi"/>
          <w:color w:val="000000" w:themeColor="text1"/>
          <w:kern w:val="24"/>
          <w:sz w:val="24"/>
          <w:szCs w:val="24"/>
          <w:lang w:eastAsia="tr-TR"/>
        </w:rPr>
        <w:t xml:space="preserve">(EK-2) </w:t>
      </w:r>
      <w:r w:rsidR="00EB5FF2">
        <w:rPr>
          <w:rFonts w:asciiTheme="majorBidi" w:eastAsiaTheme="minorEastAsia" w:hAnsiTheme="majorBidi" w:cstheme="majorBidi"/>
          <w:color w:val="000000" w:themeColor="text1"/>
          <w:kern w:val="24"/>
          <w:sz w:val="24"/>
          <w:szCs w:val="24"/>
          <w:lang w:eastAsia="tr-TR"/>
        </w:rPr>
        <w:t xml:space="preserve">world belgesi biçiminde </w:t>
      </w:r>
      <w:r w:rsidR="00FF6F6A" w:rsidRPr="00EC2B1C">
        <w:rPr>
          <w:rFonts w:asciiTheme="majorBidi" w:eastAsiaTheme="minorEastAsia" w:hAnsiTheme="majorBidi" w:cstheme="majorBidi"/>
          <w:color w:val="000000" w:themeColor="text1"/>
          <w:kern w:val="24"/>
          <w:sz w:val="24"/>
          <w:szCs w:val="24"/>
          <w:lang w:eastAsia="tr-TR"/>
        </w:rPr>
        <w:t xml:space="preserve">resmi yazı </w:t>
      </w:r>
      <w:r>
        <w:rPr>
          <w:rFonts w:asciiTheme="majorBidi" w:eastAsiaTheme="minorEastAsia" w:hAnsiTheme="majorBidi" w:cstheme="majorBidi"/>
          <w:color w:val="000000" w:themeColor="text1"/>
          <w:kern w:val="24"/>
          <w:sz w:val="24"/>
          <w:szCs w:val="24"/>
          <w:lang w:eastAsia="tr-TR"/>
        </w:rPr>
        <w:t xml:space="preserve">ile </w:t>
      </w:r>
      <w:r w:rsidR="00FF6F6A"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9" w:history="1">
        <w:r w:rsidR="00FF6F6A" w:rsidRPr="00EC2B1C">
          <w:rPr>
            <w:rFonts w:asciiTheme="majorBidi" w:eastAsiaTheme="minorEastAsia" w:hAnsiTheme="majorBidi" w:cstheme="majorBidi"/>
            <w:color w:val="000000" w:themeColor="text1"/>
            <w:kern w:val="24"/>
            <w:sz w:val="24"/>
            <w:szCs w:val="24"/>
            <w:u w:val="single"/>
            <w:lang w:eastAsia="tr-TR"/>
          </w:rPr>
          <w:t>abuyukyildiz</w:t>
        </w:r>
      </w:hyperlink>
      <w:hyperlink r:id="rId10" w:history="1">
        <w:r w:rsidR="00FF6F6A" w:rsidRPr="00EC2B1C">
          <w:rPr>
            <w:rFonts w:asciiTheme="majorBidi" w:eastAsiaTheme="minorEastAsia" w:hAnsiTheme="majorBidi" w:cstheme="majorBidi"/>
            <w:color w:val="000000" w:themeColor="text1"/>
            <w:kern w:val="24"/>
            <w:sz w:val="24"/>
            <w:szCs w:val="24"/>
            <w:u w:val="single"/>
            <w:lang w:eastAsia="tr-TR"/>
          </w:rPr>
          <w:t>@</w:t>
        </w:r>
      </w:hyperlink>
      <w:hyperlink r:id="rId11" w:history="1">
        <w:r w:rsidR="00FF6F6A" w:rsidRPr="00EC2B1C">
          <w:rPr>
            <w:rFonts w:asciiTheme="majorBidi" w:eastAsiaTheme="minorEastAsia" w:hAnsiTheme="majorBidi" w:cstheme="majorBidi"/>
            <w:color w:val="000000" w:themeColor="text1"/>
            <w:kern w:val="24"/>
            <w:sz w:val="24"/>
            <w:szCs w:val="24"/>
            <w:u w:val="single"/>
            <w:lang w:eastAsia="tr-TR"/>
          </w:rPr>
          <w:t>hotmail</w:t>
        </w:r>
      </w:hyperlink>
      <w:hyperlink r:id="rId12" w:history="1">
        <w:r w:rsidR="00FF6F6A" w:rsidRPr="00EC2B1C">
          <w:rPr>
            <w:rFonts w:asciiTheme="majorBidi" w:eastAsiaTheme="minorEastAsia" w:hAnsiTheme="majorBidi" w:cstheme="majorBidi"/>
            <w:color w:val="000000" w:themeColor="text1"/>
            <w:kern w:val="24"/>
            <w:sz w:val="24"/>
            <w:szCs w:val="24"/>
            <w:u w:val="single"/>
            <w:lang w:eastAsia="tr-TR"/>
          </w:rPr>
          <w:t>.com</w:t>
        </w:r>
      </w:hyperlink>
      <w:r w:rsidR="00FF6F6A"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00FF6F6A"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İl milli eğitim müdür yardımcısı/ şube müdürü </w:t>
      </w:r>
      <w:r w:rsidR="00DE6D79" w:rsidRPr="00EC2B1C">
        <w:rPr>
          <w:rFonts w:asciiTheme="majorBidi" w:eastAsiaTheme="minorEastAsia" w:hAnsiTheme="majorBidi" w:cstheme="majorBidi"/>
          <w:color w:val="000000" w:themeColor="text1"/>
          <w:kern w:val="24"/>
          <w:sz w:val="24"/>
          <w:szCs w:val="24"/>
          <w:lang w:eastAsia="tr-TR"/>
        </w:rPr>
        <w:t>(1),</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w:t>
      </w:r>
      <w:r w:rsidR="00DE6D79" w:rsidRPr="00EC2B1C">
        <w:rPr>
          <w:rFonts w:asciiTheme="majorBidi" w:eastAsiaTheme="minorEastAsia" w:hAnsiTheme="majorBidi" w:cstheme="majorBidi"/>
          <w:color w:val="000000" w:themeColor="text1"/>
          <w:kern w:val="24"/>
          <w:sz w:val="24"/>
          <w:szCs w:val="24"/>
          <w:lang w:eastAsia="tr-TR"/>
        </w:rPr>
        <w:t>i(1),</w:t>
      </w:r>
    </w:p>
    <w:p w:rsidR="00DE6D79"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tasarım öğretmeni (Formatör</w:t>
      </w:r>
      <w:r w:rsidR="00DE6D79" w:rsidRPr="00EC2B1C">
        <w:rPr>
          <w:rFonts w:asciiTheme="majorBidi" w:eastAsiaTheme="minorEastAsia" w:hAnsiTheme="majorBidi" w:cstheme="majorBidi"/>
          <w:color w:val="000000" w:themeColor="text1"/>
          <w:kern w:val="24"/>
          <w:sz w:val="24"/>
          <w:szCs w:val="24"/>
          <w:lang w:eastAsia="tr-TR"/>
        </w:rPr>
        <w:t>lük kurslarına katılmış olan</w:t>
      </w:r>
      <w:r w:rsidR="00591ABD">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eknoloji 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asarım branş öğretmeni yoksa Teknoloji ve Tasarım Dersi İl zümre başkanı)  </w:t>
      </w:r>
      <w:r w:rsidR="00DE6D79" w:rsidRPr="00EC2B1C">
        <w:rPr>
          <w:rFonts w:asciiTheme="majorBidi" w:eastAsiaTheme="minorEastAsia" w:hAnsiTheme="majorBidi" w:cstheme="majorBidi"/>
          <w:color w:val="000000" w:themeColor="text1"/>
          <w:kern w:val="24"/>
          <w:sz w:val="24"/>
          <w:szCs w:val="24"/>
          <w:lang w:eastAsia="tr-TR"/>
        </w:rPr>
        <w:t>(1-5)</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DE6D79" w:rsidRPr="00EC2B1C">
        <w:rPr>
          <w:rFonts w:asciiTheme="majorBidi" w:eastAsiaTheme="minorEastAsia" w:hAnsiTheme="majorBidi" w:cstheme="majorBidi"/>
          <w:color w:val="000000" w:themeColor="text1"/>
          <w:kern w:val="24"/>
          <w:sz w:val="24"/>
          <w:szCs w:val="24"/>
          <w:lang w:eastAsia="tr-TR"/>
        </w:rPr>
        <w:t>İllerde kurulan komisyonlar ö</w:t>
      </w:r>
      <w:r w:rsidR="00EB5FF2">
        <w:rPr>
          <w:rFonts w:asciiTheme="majorBidi" w:eastAsiaTheme="minorEastAsia" w:hAnsiTheme="majorBidi" w:cstheme="majorBidi"/>
          <w:color w:val="000000" w:themeColor="text1"/>
          <w:kern w:val="24"/>
          <w:sz w:val="24"/>
          <w:szCs w:val="24"/>
          <w:lang w:eastAsia="tr-TR"/>
        </w:rPr>
        <w:t>ğrenci sayısının çokluğu</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kişiden oluşturulacak biçimde kurulacaktır.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sınıflar 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944CF7" w:rsidRPr="00EC2B1C">
        <w:rPr>
          <w:rFonts w:ascii="Times New Roman" w:eastAsiaTheme="minorEastAsia" w:hAnsi="Times New Roman" w:cs="Times New Roman"/>
          <w:color w:val="000000" w:themeColor="text1"/>
          <w:kern w:val="24"/>
          <w:sz w:val="24"/>
          <w:szCs w:val="24"/>
          <w:lang w:eastAsia="tr-TR"/>
        </w:rPr>
        <w:t xml:space="preserve">gerek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A91C68" w:rsidRDefault="00A91C68" w:rsidP="00A91C68">
      <w:pPr>
        <w:pStyle w:val="ListeParagraf"/>
        <w:spacing w:before="120" w:after="120" w:line="360" w:lineRule="auto"/>
        <w:ind w:left="567"/>
        <w:jc w:val="both"/>
        <w:rPr>
          <w:rFonts w:eastAsiaTheme="minorEastAsia"/>
          <w:b/>
          <w:bCs/>
          <w:color w:val="000000" w:themeColor="text1"/>
          <w:kern w:val="24"/>
        </w:rPr>
      </w:pPr>
      <w:r>
        <w:rPr>
          <w:rFonts w:asciiTheme="majorBidi" w:hAnsiTheme="majorBidi"/>
        </w:rPr>
        <w:tab/>
      </w:r>
      <w:r>
        <w:rPr>
          <w:rFonts w:asciiTheme="majorBidi" w:hAnsiTheme="majorBidi"/>
        </w:rPr>
        <w:tab/>
      </w:r>
      <w:r w:rsidR="001E29A8" w:rsidRPr="00A91C68">
        <w:rPr>
          <w:rFonts w:asciiTheme="majorBidi" w:hAnsiTheme="majorBidi"/>
          <w:b/>
          <w:bCs/>
        </w:rPr>
        <w:t>Düzen Kuşağı e</w:t>
      </w:r>
      <w:r w:rsidR="00216348" w:rsidRPr="00A91C68">
        <w:rPr>
          <w:rFonts w:asciiTheme="majorBidi" w:hAnsiTheme="majorBidi"/>
          <w:b/>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9F43FB" w:rsidRDefault="00A91C68" w:rsidP="00A91C68">
      <w:pPr>
        <w:pStyle w:val="Balk3"/>
        <w:spacing w:before="120" w:after="120" w:line="360" w:lineRule="auto"/>
        <w:ind w:left="567"/>
        <w:jc w:val="both"/>
        <w:rPr>
          <w:rFonts w:ascii="Times New Roman" w:hAnsi="Times New Roman" w:cs="Times New Roman"/>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Pr>
          <w:rFonts w:ascii="Times New Roman" w:hAnsi="Times New Roman" w:cs="Times New Roman"/>
          <w:sz w:val="24"/>
          <w:szCs w:val="24"/>
        </w:rPr>
        <w:t>Kurgu Kuşağı  e</w:t>
      </w:r>
      <w:r w:rsidR="00AC7D95" w:rsidRPr="009F43FB">
        <w:rPr>
          <w:rFonts w:ascii="Times New Roman" w:hAnsi="Times New Roman" w:cs="Times New Roman"/>
          <w:sz w:val="24"/>
          <w:szCs w:val="24"/>
        </w:rPr>
        <w:t>tkinlikleri için her sınıf seviyesinde etkinlikler üç farklı şekilde olabilir</w:t>
      </w:r>
      <w:bookmarkEnd w:id="7"/>
      <w:r w:rsidR="009F43FB">
        <w:rPr>
          <w:rFonts w:ascii="Times New Roman" w:hAnsi="Times New Roman" w:cs="Times New Roman"/>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A91C68" w:rsidRDefault="00F20A94" w:rsidP="0010186E">
      <w:pPr>
        <w:pStyle w:val="Balk1"/>
        <w:rPr>
          <w:sz w:val="36"/>
          <w:szCs w:val="36"/>
        </w:rPr>
      </w:pPr>
      <w:bookmarkStart w:id="9" w:name="_Toc413659930"/>
      <w:r>
        <w:rPr>
          <w:sz w:val="36"/>
          <w:szCs w:val="36"/>
        </w:rPr>
        <w:t xml:space="preserve">3. </w:t>
      </w:r>
      <w:r w:rsidR="000648A7" w:rsidRPr="00A91C68">
        <w:rPr>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Pr>
          <w:rFonts w:eastAsiaTheme="minorEastAsia"/>
          <w:color w:val="000000" w:themeColor="text1"/>
          <w:kern w:val="24"/>
        </w:rPr>
        <w:t xml:space="preserve">EK-1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seçmiş oldukları etkinlikleri ve etkinlik sahibi öğrenci ile rehber öğretmen iletişim bilgilerin</w:t>
      </w:r>
      <w:r w:rsidR="00A91C68">
        <w:rPr>
          <w:rFonts w:eastAsiaTheme="minorEastAsia"/>
          <w:color w:val="000000" w:themeColor="text1"/>
          <w:kern w:val="24"/>
        </w:rPr>
        <w:t xml:space="preserve">i </w:t>
      </w:r>
      <w:r w:rsidRPr="009F43FB">
        <w:rPr>
          <w:rFonts w:eastAsiaTheme="minorEastAsia"/>
          <w:color w:val="000000" w:themeColor="text1"/>
          <w:kern w:val="24"/>
        </w:rPr>
        <w:t xml:space="preserve">Türk Patent Enstitüsüne ait 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537C40">
        <w:rPr>
          <w:rFonts w:eastAsiaTheme="minorEastAsia"/>
          <w:color w:val="000000" w:themeColor="text1"/>
          <w:kern w:val="24"/>
        </w:rPr>
        <w:t xml:space="preserve">5 </w:t>
      </w:r>
      <w:r w:rsidRPr="009F43FB">
        <w:rPr>
          <w:rFonts w:eastAsiaTheme="minorEastAsia"/>
          <w:color w:val="000000" w:themeColor="text1"/>
          <w:kern w:val="24"/>
        </w:rPr>
        <w:t xml:space="preserve">Mayıs 2015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10/05/2015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A91C68">
        <w:rPr>
          <w:rFonts w:eastAsiaTheme="minorEastAsia"/>
          <w:color w:val="000000" w:themeColor="text1"/>
          <w:kern w:val="24"/>
        </w:rPr>
        <w:t>EK-</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10186E" w:rsidRDefault="00F20A94" w:rsidP="0010186E">
      <w:pPr>
        <w:pStyle w:val="Balk1"/>
      </w:pPr>
      <w:bookmarkStart w:id="10" w:name="_Toc413659931"/>
      <w:r>
        <w:t xml:space="preserve">4. </w:t>
      </w:r>
      <w:r w:rsidR="00017565" w:rsidRPr="0010186E">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23-24 Mayıs 2015 tarihleri arasında Ankara’da yapılacaktır. Sergiye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3"/>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0" w:type="auto"/>
        <w:tblLook w:val="04A0"/>
      </w:tblPr>
      <w:tblGrid>
        <w:gridCol w:w="742"/>
        <w:gridCol w:w="1531"/>
        <w:gridCol w:w="534"/>
        <w:gridCol w:w="962"/>
        <w:gridCol w:w="2288"/>
        <w:gridCol w:w="2985"/>
        <w:gridCol w:w="1268"/>
        <w:gridCol w:w="815"/>
      </w:tblGrid>
      <w:tr w:rsidR="00C5532A" w:rsidRPr="00C5532A" w:rsidTr="00BE0C4B">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lastRenderedPageBreak/>
              <w:t>SIRA</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ADI SOYADI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İLÇESİ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ÇALIŞTIĞI KURUM</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GÖREVİ</w:t>
            </w:r>
          </w:p>
        </w:tc>
        <w:tc>
          <w:tcPr>
            <w:tcW w:w="0" w:type="auto"/>
            <w:gridSpan w:val="2"/>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İLETİŞİM</w:t>
            </w:r>
          </w:p>
        </w:tc>
      </w:tr>
      <w:tr w:rsidR="00C5532A" w:rsidRPr="00C5532A" w:rsidTr="00BE0C4B">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TELEFON</w:t>
            </w: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MAİL</w:t>
            </w: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1</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Md Yrd/ Şb.Md.</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2</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Maarif Müfettişi</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3</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restart"/>
          </w:tcPr>
          <w:p w:rsidR="00C5532A" w:rsidRPr="00C5532A" w:rsidRDefault="00C5532A" w:rsidP="00BE0C4B">
            <w:pPr>
              <w:spacing w:before="120" w:after="120" w:line="360" w:lineRule="auto"/>
              <w:contextualSpacing/>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 xml:space="preserve">Tek ve Tas. Branş Öğretmeni </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4</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5</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Pr="00C5532A">
        <w:rPr>
          <w:rFonts w:eastAsiaTheme="minorEastAsia"/>
          <w:b/>
          <w:bCs/>
          <w:color w:val="000000" w:themeColor="text1"/>
          <w:kern w:val="24"/>
        </w:rPr>
        <w:t>EK-2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Pr="00C5532A">
        <w:rPr>
          <w:rFonts w:asciiTheme="majorBidi" w:hAnsiTheme="majorBidi"/>
          <w:sz w:val="24"/>
          <w:szCs w:val="24"/>
        </w:rPr>
        <w:t>EK-3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ŞİMDİ DÜŞÜNME ZAMANI 2015 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UYGULAMA </w:t>
      </w:r>
      <w:r w:rsidRPr="009150A3">
        <w:rPr>
          <w:rFonts w:asciiTheme="majorBidi" w:hAnsiTheme="majorBidi"/>
          <w:sz w:val="22"/>
          <w:szCs w:val="22"/>
        </w:rPr>
        <w:t xml:space="preserve"> PLANI</w:t>
      </w:r>
      <w:bookmarkEnd w:id="12"/>
    </w:p>
    <w:tbl>
      <w:tblPr>
        <w:tblStyle w:val="TabloKlavuzu"/>
        <w:tblW w:w="5000" w:type="pct"/>
        <w:tblLook w:val="04A0"/>
      </w:tblPr>
      <w:tblGrid>
        <w:gridCol w:w="1526"/>
        <w:gridCol w:w="4536"/>
        <w:gridCol w:w="4219"/>
      </w:tblGrid>
      <w:tr w:rsidR="007C747E" w:rsidRPr="009150A3" w:rsidTr="00C5532A">
        <w:trPr>
          <w:trHeight w:val="371"/>
        </w:trPr>
        <w:tc>
          <w:tcPr>
            <w:tcW w:w="74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2206"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205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7C747E" w:rsidRPr="009150A3" w:rsidTr="00C5532A">
        <w:trPr>
          <w:trHeight w:val="371"/>
        </w:trPr>
        <w:tc>
          <w:tcPr>
            <w:tcW w:w="742" w:type="pct"/>
          </w:tcPr>
          <w:p w:rsidR="007C747E" w:rsidRPr="009150A3" w:rsidRDefault="00F20F81" w:rsidP="000B49AF">
            <w:pPr>
              <w:rPr>
                <w:rFonts w:asciiTheme="majorBidi" w:hAnsiTheme="majorBidi" w:cstheme="majorBidi"/>
              </w:rPr>
            </w:pPr>
            <w:r w:rsidRPr="009150A3">
              <w:rPr>
                <w:rFonts w:asciiTheme="majorBidi" w:hAnsiTheme="majorBidi" w:cstheme="majorBidi"/>
              </w:rPr>
              <w:t>16</w:t>
            </w:r>
            <w:r w:rsidR="007C747E" w:rsidRPr="009150A3">
              <w:rPr>
                <w:rFonts w:asciiTheme="majorBidi" w:hAnsiTheme="majorBidi" w:cstheme="majorBidi"/>
              </w:rPr>
              <w:t>.03.201</w:t>
            </w:r>
            <w:r w:rsidR="00D85AFC" w:rsidRPr="009150A3">
              <w:rPr>
                <w:rFonts w:asciiTheme="majorBidi" w:hAnsiTheme="majorBidi" w:cstheme="majorBidi"/>
              </w:rPr>
              <w:t>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Komisyonların Kurulması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Sergi Davetiyelerinin ve afişlerinin hazırlanması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davetiyelerinin dağıtılması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TTKB, TEGM </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Her kurum dağıtım yapacağı birimleri kendisi belirleyecektir (dağıtım öncesi bir organizasyon toplantısının yapılması faydalı olacaktır)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öğrencilere rehberlik yapan öğretmenlerin il kontenjanları sayısınca tespit edilerek temel eğitim genel müdürlüğüne bildirilmesi (yazı/cd)</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 İllerde Oluşturulan Komisyonlar/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15Mart-</w:t>
            </w:r>
          </w:p>
          <w:p w:rsidR="007C747E" w:rsidRPr="009150A3" w:rsidRDefault="007C747E" w:rsidP="000B49AF">
            <w:pPr>
              <w:rPr>
                <w:rFonts w:asciiTheme="majorBidi" w:hAnsiTheme="majorBidi" w:cstheme="majorBidi"/>
              </w:rPr>
            </w:pPr>
            <w:r w:rsidRPr="009150A3">
              <w:rPr>
                <w:rFonts w:asciiTheme="majorBidi" w:hAnsiTheme="majorBidi" w:cstheme="majorBidi"/>
              </w:rPr>
              <w:t>10 Mayıs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Talim ve Terbiye Kurulu Başkanlığı Yürütme Kurulu Üyeleri (Teknoloji ve Tasarım Dersi Program Geliştirme Komisyon Üyeleri), Temel Eğitim Genel Müdürlüğü Yürütme Kurulu Üyeleri</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Seçilen etkinlikleri komisyonlarca Türk Patent Enstitüsüne mail ile gönderilmesi.</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(TPE ait mail komisyonlara gönderilecektir.) </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oluşturulan komisyonlar/İl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01-15/05/2005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Ankara’ da yapılacak sergiye katılacak öğretmen ve öğrencilerin izin işlemlerinin yapılması.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Müdürlüklerince izin işlemlerine yönelik çalışmalar yürütülecektir. (İl MEM , İl Komisyonu)</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10-15/05/2015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katılacak öğretmen ve öğrencilerin ulaşım, konaklama, sergiye katılacak etkinliklere yönelik iş ve işlemler</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Sergiye katılacak öğretmen ve öğrencilerin Ankara’ya gelmeleri ve karşılanmaları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Stantlarının Hazırlanması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23-24/05/2015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Serginin Gerçekleştirilmesi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TTKB, TEGM</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25-26/05/2015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katılan öğretmen, öğrencilerin Ankara gezisi yapmaları/illerine dönmeleri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Haziran–Ekim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TPE Gerçekleştirilecek Olup , TTKB,TEGM Yürütme Kurulunca Desteklenecektir</w:t>
            </w:r>
          </w:p>
        </w:tc>
      </w:tr>
    </w:tbl>
    <w:p w:rsidR="007C747E" w:rsidRDefault="007C747E" w:rsidP="007C747E">
      <w:pPr>
        <w:rPr>
          <w:b/>
        </w:rPr>
        <w:sectPr w:rsidR="007C747E" w:rsidSect="002432D7">
          <w:pgSz w:w="11906" w:h="16838"/>
          <w:pgMar w:top="1417" w:right="1274" w:bottom="1417" w:left="567" w:header="708" w:footer="708" w:gutter="0"/>
          <w:cols w:space="708"/>
          <w:docGrid w:linePitch="360"/>
        </w:sectPr>
      </w:pPr>
    </w:p>
    <w:p w:rsidR="007C747E" w:rsidRPr="00C5532A"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t>EK-4</w:t>
      </w:r>
    </w:p>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r>
        <w:rPr>
          <w:rFonts w:eastAsiaTheme="minorEastAsia"/>
          <w:color w:val="000000" w:themeColor="text1"/>
          <w:kern w:val="24"/>
          <w:sz w:val="40"/>
          <w:szCs w:val="40"/>
        </w:rPr>
        <w:tab/>
      </w:r>
    </w:p>
    <w:tbl>
      <w:tblPr>
        <w:tblpPr w:leftFromText="141" w:rightFromText="141" w:vertAnchor="page" w:horzAnchor="margin" w:tblpXSpec="center" w:tblpY="1831"/>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164"/>
        <w:gridCol w:w="2169"/>
        <w:gridCol w:w="2036"/>
        <w:gridCol w:w="2256"/>
        <w:gridCol w:w="2267"/>
      </w:tblGrid>
      <w:tr w:rsidR="007C747E" w:rsidRPr="0058458A" w:rsidTr="000B49AF">
        <w:trPr>
          <w:trHeight w:val="298"/>
        </w:trPr>
        <w:tc>
          <w:tcPr>
            <w:tcW w:w="12016" w:type="dxa"/>
            <w:gridSpan w:val="6"/>
            <w:shd w:val="clear" w:color="auto" w:fill="auto"/>
          </w:tcPr>
          <w:p w:rsidR="007C747E" w:rsidRPr="0058458A" w:rsidRDefault="007C747E" w:rsidP="000B49AF">
            <w:pPr>
              <w:spacing w:after="0" w:line="240" w:lineRule="auto"/>
              <w:jc w:val="center"/>
              <w:rPr>
                <w:rFonts w:ascii="Times New Roman" w:eastAsia="Times New Roman" w:hAnsi="Times New Roman" w:cs="Times New Roman"/>
                <w:b/>
                <w:sz w:val="24"/>
                <w:szCs w:val="24"/>
                <w:lang w:eastAsia="tr-TR"/>
              </w:rPr>
            </w:pP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ZAMAN </w:t>
            </w:r>
          </w:p>
        </w:tc>
        <w:tc>
          <w:tcPr>
            <w:tcW w:w="2195"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 GÜN (PERŞEMBE)</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 Mayıs 2015</w:t>
            </w:r>
          </w:p>
        </w:tc>
        <w:tc>
          <w:tcPr>
            <w:tcW w:w="2197"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II. GÜN (CUMA)</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 Mayıs 2015</w:t>
            </w:r>
          </w:p>
        </w:tc>
        <w:tc>
          <w:tcPr>
            <w:tcW w:w="2049"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III: GÜN (CUMARTESİ) </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 Mayıs 2015</w:t>
            </w:r>
          </w:p>
        </w:tc>
        <w:tc>
          <w:tcPr>
            <w:tcW w:w="2150"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IV. GÜN (PAZAR)</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Mayıs 2015</w:t>
            </w:r>
          </w:p>
        </w:tc>
        <w:tc>
          <w:tcPr>
            <w:tcW w:w="2301"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V. GÜN (PAZARTESİ)</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 Mayıs 2015</w:t>
            </w:r>
          </w:p>
        </w:tc>
      </w:tr>
      <w:tr w:rsidR="007C747E" w:rsidRPr="0058458A" w:rsidTr="000B49AF">
        <w:trPr>
          <w:trHeight w:val="612"/>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09:00</w:t>
            </w:r>
          </w:p>
        </w:tc>
        <w:tc>
          <w:tcPr>
            <w:tcW w:w="2195"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Ankara’ya ulaşımı</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ve</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alanına yerleşim</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Anıtkabir Çelenk Koyma Töreni ve Anıtkabir Müzesi Gezisi</w:t>
            </w:r>
          </w:p>
        </w:tc>
        <w:tc>
          <w:tcPr>
            <w:tcW w:w="2150"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Gezi Turu</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Feza Gürsoy Bilim Merkezi,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NataVega Akvaryum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Müze Gezisi</w:t>
            </w:r>
          </w:p>
        </w:tc>
        <w:tc>
          <w:tcPr>
            <w:tcW w:w="2301"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Ankara’dan ayrılışı</w:t>
            </w: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11:00</w:t>
            </w:r>
          </w:p>
        </w:tc>
        <w:tc>
          <w:tcPr>
            <w:tcW w:w="2195" w:type="dxa"/>
            <w:vMerge/>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Açılışı (ANKAMALL)</w:t>
            </w:r>
          </w:p>
        </w:tc>
        <w:tc>
          <w:tcPr>
            <w:tcW w:w="2049"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Gün Boyu Sergi (ANKAMALL)</w:t>
            </w: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12:00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val="restart"/>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Gün Boyu Sergi (ANKAMALL) </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60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17:00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911"/>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18:00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Enstitüyü Ziyaretleri</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444"/>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19:00</w:t>
            </w:r>
          </w:p>
        </w:tc>
        <w:tc>
          <w:tcPr>
            <w:tcW w:w="2195"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50"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bl>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C5532A" w:rsidRDefault="007C747E" w:rsidP="00497C11">
      <w:pPr>
        <w:spacing w:after="0" w:line="240" w:lineRule="auto"/>
        <w:jc w:val="both"/>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 </w:t>
      </w:r>
    </w:p>
    <w:p w:rsidR="00C5532A" w:rsidRDefault="00C5532A" w:rsidP="007C747E">
      <w:pPr>
        <w:spacing w:after="0" w:line="240" w:lineRule="auto"/>
        <w:jc w:val="both"/>
        <w:rPr>
          <w:rFonts w:ascii="Times New Roman" w:eastAsia="Times New Roman" w:hAnsi="Times New Roman" w:cs="Times New Roman"/>
          <w:sz w:val="24"/>
          <w:szCs w:val="24"/>
          <w:lang w:eastAsia="tr-TR"/>
        </w:rPr>
      </w:pPr>
    </w:p>
    <w:p w:rsidR="007C747E" w:rsidRPr="0058458A" w:rsidRDefault="00497C11" w:rsidP="007C747E">
      <w:pPr>
        <w:spacing w:after="0" w:line="240" w:lineRule="auto"/>
        <w:jc w:val="both"/>
        <w:rPr>
          <w:rFonts w:ascii="Times New Roman" w:eastAsia="Times New Roman" w:hAnsi="Times New Roman" w:cs="Times New Roman"/>
          <w:sz w:val="2"/>
          <w:szCs w:val="2"/>
          <w:lang w:eastAsia="tr-TR"/>
        </w:r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 xml:space="preserve">Mücbir sebeplerle (müzenin/bilim merkezinin/akvaryumun kapalı veya tadilatta olması gibi) gerçekleştirilemeyecek olan ziyaret veya ziyaretler yerine ikame ziyaret veya ziyaretler gerçekleştirilebilecektir. </w:t>
      </w:r>
    </w:p>
    <w:p w:rsidR="007C747E" w:rsidRPr="0058458A" w:rsidRDefault="007C747E" w:rsidP="007C747E">
      <w:pPr>
        <w:spacing w:after="0" w:line="240" w:lineRule="auto"/>
        <w:rPr>
          <w:rFonts w:ascii="Times New Roman" w:eastAsia="Times New Roman" w:hAnsi="Times New Roman" w:cs="Times New Roman"/>
          <w:sz w:val="2"/>
          <w:szCs w:val="2"/>
          <w:lang w:eastAsia="tr-TR"/>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sectPr w:rsidR="007C747E" w:rsidSect="000B49AF">
          <w:pgSz w:w="16838" w:h="11906" w:orient="landscape"/>
          <w:pgMar w:top="567" w:right="1418" w:bottom="1276" w:left="1418" w:header="709" w:footer="709" w:gutter="0"/>
          <w:cols w:space="708"/>
          <w:docGrid w:linePitch="360"/>
        </w:sectPr>
      </w:pP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Toper AKBABA,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055F75" w:rsidP="007C747E">
      <w:pPr>
        <w:spacing w:before="125" w:after="0" w:line="240" w:lineRule="auto"/>
        <w:ind w:left="567"/>
        <w:jc w:val="both"/>
        <w:rPr>
          <w:rFonts w:asciiTheme="majorBidi" w:eastAsia="Times New Roman" w:hAnsiTheme="majorBidi" w:cstheme="majorBidi"/>
          <w:sz w:val="24"/>
          <w:szCs w:val="24"/>
          <w:lang w:eastAsia="tr-TR"/>
        </w:rPr>
      </w:pPr>
      <w:hyperlink r:id="rId15"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6"/>
      <w:pgSz w:w="11906" w:h="16838"/>
      <w:pgMar w:top="1417" w:right="1274" w:bottom="1417" w:left="567"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7E1" w:rsidRDefault="00AB07E1" w:rsidP="00DD66B6">
      <w:pPr>
        <w:spacing w:after="0" w:line="240" w:lineRule="auto"/>
      </w:pPr>
      <w:r>
        <w:separator/>
      </w:r>
    </w:p>
  </w:endnote>
  <w:endnote w:type="continuationSeparator" w:id="1">
    <w:p w:rsidR="00AB07E1" w:rsidRDefault="00AB07E1" w:rsidP="00DD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492"/>
      <w:docPartObj>
        <w:docPartGallery w:val="Page Numbers (Bottom of Page)"/>
        <w:docPartUnique/>
      </w:docPartObj>
    </w:sdtPr>
    <w:sdtContent>
      <w:p w:rsidR="008F0B43" w:rsidRDefault="00055F75">
        <w:pPr>
          <w:pStyle w:val="Altbilgi"/>
          <w:jc w:val="right"/>
        </w:pPr>
        <w:fldSimple w:instr=" PAGE   \* MERGEFORMAT ">
          <w:r w:rsidR="009D41A1">
            <w:rPr>
              <w:noProof/>
            </w:rPr>
            <w:t>1</w:t>
          </w:r>
        </w:fldSimple>
      </w:p>
    </w:sdtContent>
  </w:sdt>
  <w:p w:rsidR="008F0B43" w:rsidRDefault="008F0B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43" w:rsidRDefault="00055F75">
    <w:pPr>
      <w:pStyle w:val="Altbilgi"/>
    </w:pPr>
    <w:r>
      <w:rPr>
        <w:noProof/>
        <w:lang w:eastAsia="tr-TR"/>
      </w:rPr>
      <w:pict>
        <v:rect id="_x0000_s4097" style="position:absolute;margin-left:1.85pt;margin-top:18.7pt;width:60pt;height:70.5pt;z-index:251663360;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960371143"/>
                </w:sdtPr>
                <w:sdtContent>
                  <w:sdt>
                    <w:sdtPr>
                      <w:rPr>
                        <w:rFonts w:asciiTheme="majorHAnsi" w:eastAsiaTheme="majorEastAsia" w:hAnsiTheme="majorHAnsi" w:cstheme="majorBidi"/>
                        <w:sz w:val="48"/>
                        <w:szCs w:val="48"/>
                      </w:rPr>
                      <w:id w:val="-1573570554"/>
                      <w:showingPlcHdr/>
                    </w:sdt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7E1" w:rsidRDefault="00AB07E1" w:rsidP="00DD66B6">
      <w:pPr>
        <w:spacing w:after="0" w:line="240" w:lineRule="auto"/>
      </w:pPr>
      <w:r>
        <w:separator/>
      </w:r>
    </w:p>
  </w:footnote>
  <w:footnote w:type="continuationSeparator" w:id="1">
    <w:p w:rsidR="00AB07E1" w:rsidRDefault="00AB07E1" w:rsidP="00DD6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FF6F6A"/>
    <w:rsid w:val="000159DA"/>
    <w:rsid w:val="00017565"/>
    <w:rsid w:val="00055F75"/>
    <w:rsid w:val="000648A7"/>
    <w:rsid w:val="00070113"/>
    <w:rsid w:val="00085C16"/>
    <w:rsid w:val="0009166F"/>
    <w:rsid w:val="000B49AF"/>
    <w:rsid w:val="0010186E"/>
    <w:rsid w:val="00101EF8"/>
    <w:rsid w:val="00136241"/>
    <w:rsid w:val="001E29A8"/>
    <w:rsid w:val="00216348"/>
    <w:rsid w:val="002432D7"/>
    <w:rsid w:val="002837C1"/>
    <w:rsid w:val="002C3118"/>
    <w:rsid w:val="002E1061"/>
    <w:rsid w:val="00310155"/>
    <w:rsid w:val="00351944"/>
    <w:rsid w:val="00357C9A"/>
    <w:rsid w:val="00376173"/>
    <w:rsid w:val="004169ED"/>
    <w:rsid w:val="00497C11"/>
    <w:rsid w:val="00537C40"/>
    <w:rsid w:val="005637C5"/>
    <w:rsid w:val="00591ABD"/>
    <w:rsid w:val="00591F26"/>
    <w:rsid w:val="005B43C9"/>
    <w:rsid w:val="0063285E"/>
    <w:rsid w:val="00652FDC"/>
    <w:rsid w:val="0069312F"/>
    <w:rsid w:val="006A6D8B"/>
    <w:rsid w:val="007306EF"/>
    <w:rsid w:val="00790691"/>
    <w:rsid w:val="007C747E"/>
    <w:rsid w:val="00812370"/>
    <w:rsid w:val="008273B8"/>
    <w:rsid w:val="00840E62"/>
    <w:rsid w:val="00892EDC"/>
    <w:rsid w:val="008A264A"/>
    <w:rsid w:val="008B5559"/>
    <w:rsid w:val="008B60BE"/>
    <w:rsid w:val="008B619F"/>
    <w:rsid w:val="008C7F34"/>
    <w:rsid w:val="008F0B43"/>
    <w:rsid w:val="009150A3"/>
    <w:rsid w:val="0092406B"/>
    <w:rsid w:val="00944CF7"/>
    <w:rsid w:val="00963A9E"/>
    <w:rsid w:val="009B08AE"/>
    <w:rsid w:val="009D41A1"/>
    <w:rsid w:val="009D6CD1"/>
    <w:rsid w:val="009F43FB"/>
    <w:rsid w:val="00A27E6F"/>
    <w:rsid w:val="00A45814"/>
    <w:rsid w:val="00A46A98"/>
    <w:rsid w:val="00A55FAE"/>
    <w:rsid w:val="00A91C68"/>
    <w:rsid w:val="00AB07E1"/>
    <w:rsid w:val="00AC7225"/>
    <w:rsid w:val="00AC7D95"/>
    <w:rsid w:val="00B060CD"/>
    <w:rsid w:val="00B8573B"/>
    <w:rsid w:val="00B9121B"/>
    <w:rsid w:val="00B91819"/>
    <w:rsid w:val="00BD07AE"/>
    <w:rsid w:val="00BD4955"/>
    <w:rsid w:val="00BE0C4B"/>
    <w:rsid w:val="00C210CA"/>
    <w:rsid w:val="00C26F44"/>
    <w:rsid w:val="00C5532A"/>
    <w:rsid w:val="00CE5C12"/>
    <w:rsid w:val="00D12DFB"/>
    <w:rsid w:val="00D85AFC"/>
    <w:rsid w:val="00DD4ED1"/>
    <w:rsid w:val="00DD66B6"/>
    <w:rsid w:val="00DE6D79"/>
    <w:rsid w:val="00E2482A"/>
    <w:rsid w:val="00E36BC2"/>
    <w:rsid w:val="00E90DEB"/>
    <w:rsid w:val="00EA7C9C"/>
    <w:rsid w:val="00EB5FF2"/>
    <w:rsid w:val="00EC05DA"/>
    <w:rsid w:val="00EC2B1C"/>
    <w:rsid w:val="00ED093F"/>
    <w:rsid w:val="00EE6B46"/>
    <w:rsid w:val="00F02CCF"/>
    <w:rsid w:val="00F20A94"/>
    <w:rsid w:val="00F20F81"/>
    <w:rsid w:val="00F248E0"/>
    <w:rsid w:val="00F3654B"/>
    <w:rsid w:val="00F81A31"/>
    <w:rsid w:val="00F87FC3"/>
    <w:rsid w:val="00FF6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BE"/>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s>
</file>

<file path=word/webSettings.xml><?xml version="1.0" encoding="utf-8"?>
<w:webSettings xmlns:r="http://schemas.openxmlformats.org/officeDocument/2006/relationships" xmlns:w="http://schemas.openxmlformats.org/wordprocessingml/2006/main">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yukyildiz@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yukyildiz@hotmail.com" TargetMode="External"/><Relationship Id="rId5" Type="http://schemas.openxmlformats.org/officeDocument/2006/relationships/webSettings" Target="webSettings.xml"/><Relationship Id="rId15" Type="http://schemas.openxmlformats.org/officeDocument/2006/relationships/hyperlink" Target="mailto:abuyukyildiz@hotmail.com" TargetMode="External"/><Relationship Id="rId10" Type="http://schemas.openxmlformats.org/officeDocument/2006/relationships/hyperlink" Target="mailto:abuyukyildiz@hotmail.com" TargetMode="External"/><Relationship Id="rId4" Type="http://schemas.openxmlformats.org/officeDocument/2006/relationships/settings" Target="settings.xml"/><Relationship Id="rId9" Type="http://schemas.openxmlformats.org/officeDocument/2006/relationships/hyperlink" Target="mailto:abuyukyildiz@hotmail.com"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6032-223C-455E-8432-C28F9B96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2468</Words>
  <Characters>14070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özmennaime</cp:lastModifiedBy>
  <cp:revision>2</cp:revision>
  <dcterms:created xsi:type="dcterms:W3CDTF">2015-03-19T11:21:00Z</dcterms:created>
  <dcterms:modified xsi:type="dcterms:W3CDTF">2015-03-19T11:21:00Z</dcterms:modified>
</cp:coreProperties>
</file>